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A0" w:rsidRPr="00724AC6" w:rsidRDefault="001D60FD" w:rsidP="001D60FD">
      <w:pPr>
        <w:spacing w:after="0"/>
        <w:ind w:firstLine="708"/>
        <w:jc w:val="left"/>
        <w:rPr>
          <w:sz w:val="24"/>
          <w:szCs w:val="24"/>
        </w:rPr>
      </w:pPr>
      <w:r w:rsidRPr="00724AC6">
        <w:rPr>
          <w:sz w:val="24"/>
          <w:szCs w:val="24"/>
        </w:rPr>
        <w:t xml:space="preserve">Информационный материал для размещения на сайте </w:t>
      </w:r>
      <w:r w:rsidR="00CE1F84">
        <w:rPr>
          <w:sz w:val="24"/>
          <w:szCs w:val="24"/>
        </w:rPr>
        <w:t>и социальной сети Новороссийской торгово-промышленной палаты</w:t>
      </w:r>
      <w:r w:rsidRPr="00724AC6">
        <w:rPr>
          <w:sz w:val="24"/>
          <w:szCs w:val="24"/>
        </w:rPr>
        <w:t xml:space="preserve"> от </w:t>
      </w:r>
      <w:r w:rsidR="003D4447">
        <w:rPr>
          <w:sz w:val="24"/>
          <w:szCs w:val="24"/>
        </w:rPr>
        <w:t>2</w:t>
      </w:r>
      <w:r w:rsidR="00CE1F84">
        <w:rPr>
          <w:sz w:val="24"/>
          <w:szCs w:val="24"/>
        </w:rPr>
        <w:t>8</w:t>
      </w:r>
      <w:r w:rsidR="003D4447">
        <w:rPr>
          <w:sz w:val="24"/>
          <w:szCs w:val="24"/>
        </w:rPr>
        <w:t xml:space="preserve"> </w:t>
      </w:r>
      <w:r w:rsidR="00724AC6">
        <w:rPr>
          <w:sz w:val="24"/>
          <w:szCs w:val="24"/>
        </w:rPr>
        <w:t xml:space="preserve">февраля </w:t>
      </w:r>
      <w:r w:rsidRPr="00724AC6">
        <w:rPr>
          <w:sz w:val="24"/>
          <w:szCs w:val="24"/>
        </w:rPr>
        <w:t>2024 г.</w:t>
      </w:r>
    </w:p>
    <w:p w:rsidR="00F32E6F" w:rsidRDefault="00F32E6F" w:rsidP="00EE4D59">
      <w:pPr>
        <w:pStyle w:val="ae"/>
        <w:shd w:val="clear" w:color="auto" w:fill="FFFFFF"/>
        <w:spacing w:before="0" w:beforeAutospacing="0" w:after="0" w:afterAutospacing="0"/>
        <w:ind w:firstLine="709"/>
        <w:jc w:val="right"/>
      </w:pPr>
    </w:p>
    <w:p w:rsidR="00DC3686" w:rsidRDefault="00DC3686" w:rsidP="003D444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72978" w:rsidRDefault="00724AC6" w:rsidP="003D444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rFonts w:ascii="PT Sans" w:hAnsi="PT Sans"/>
          <w:color w:val="212529"/>
          <w:sz w:val="28"/>
          <w:shd w:val="clear" w:color="auto" w:fill="FFFFFF"/>
        </w:rPr>
      </w:pPr>
      <w:r w:rsidRPr="00724AC6">
        <w:rPr>
          <w:sz w:val="28"/>
          <w:szCs w:val="28"/>
        </w:rPr>
        <w:t xml:space="preserve">Отдел </w:t>
      </w:r>
      <w:r w:rsidR="003D4447">
        <w:rPr>
          <w:sz w:val="28"/>
          <w:szCs w:val="28"/>
        </w:rPr>
        <w:t>таможенных платежей</w:t>
      </w:r>
      <w:r w:rsidRPr="00724AC6">
        <w:rPr>
          <w:sz w:val="28"/>
          <w:szCs w:val="28"/>
        </w:rPr>
        <w:t xml:space="preserve"> Новороссийской таможни </w:t>
      </w:r>
      <w:r w:rsidR="003D4447">
        <w:rPr>
          <w:sz w:val="28"/>
          <w:szCs w:val="28"/>
        </w:rPr>
        <w:t xml:space="preserve">напоминает </w:t>
      </w:r>
      <w:r w:rsidR="00872978">
        <w:rPr>
          <w:rFonts w:ascii="PT Sans" w:hAnsi="PT Sans"/>
          <w:color w:val="212529"/>
          <w:sz w:val="28"/>
          <w:shd w:val="clear" w:color="auto" w:fill="FFFFFF"/>
        </w:rPr>
        <w:t>ф</w:t>
      </w:r>
      <w:r w:rsidR="00872978" w:rsidRPr="003D4447">
        <w:rPr>
          <w:rFonts w:ascii="PT Sans" w:hAnsi="PT Sans"/>
          <w:color w:val="212529"/>
          <w:sz w:val="28"/>
          <w:shd w:val="clear" w:color="auto" w:fill="FFFFFF"/>
        </w:rPr>
        <w:t>ормат, порядок заполнения и оформления распоряжения о переводе денежных средств</w:t>
      </w:r>
    </w:p>
    <w:p w:rsidR="00872978" w:rsidRDefault="00872978" w:rsidP="003D4447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</w:rPr>
        <w:t xml:space="preserve"> в уплату платежей в бюджетную систему</w:t>
      </w:r>
      <w:r w:rsidRPr="00872978">
        <w:t xml:space="preserve"> </w:t>
      </w:r>
      <w:r w:rsidRPr="00872978">
        <w:rPr>
          <w:rFonts w:ascii="PT Sans" w:hAnsi="PT Sans"/>
          <w:color w:val="212529"/>
          <w:sz w:val="28"/>
          <w:shd w:val="clear" w:color="auto" w:fill="FFFFFF"/>
        </w:rPr>
        <w:t>Российской Федерации</w:t>
      </w:r>
    </w:p>
    <w:p w:rsidR="00872978" w:rsidRDefault="00872978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proofErr w:type="gramStart"/>
      <w:r w:rsidRPr="00B92F31">
        <w:rPr>
          <w:rFonts w:ascii="PT Sans" w:hAnsi="PT Sans"/>
          <w:color w:val="212529"/>
          <w:sz w:val="28"/>
          <w:shd w:val="clear" w:color="auto" w:fill="FFFFFF"/>
          <w:lang w:val="ru-RU"/>
        </w:rPr>
        <w:t xml:space="preserve">Отдел </w:t>
      </w:r>
      <w:r>
        <w:rPr>
          <w:rFonts w:ascii="PT Sans" w:hAnsi="PT Sans"/>
          <w:color w:val="212529"/>
          <w:sz w:val="28"/>
          <w:shd w:val="clear" w:color="auto" w:fill="FFFFFF"/>
          <w:lang w:val="ru-RU"/>
        </w:rPr>
        <w:t>таможенных платежей</w:t>
      </w:r>
      <w:r w:rsidRPr="00B92F31">
        <w:rPr>
          <w:rFonts w:ascii="PT Sans" w:hAnsi="PT Sans"/>
          <w:color w:val="212529"/>
          <w:sz w:val="28"/>
          <w:shd w:val="clear" w:color="auto" w:fill="FFFFFF"/>
          <w:lang w:val="ru-RU"/>
        </w:rPr>
        <w:t xml:space="preserve"> Новороссийской таможни </w:t>
      </w:r>
      <w:r>
        <w:rPr>
          <w:rFonts w:ascii="PT Sans" w:hAnsi="PT Sans"/>
          <w:color w:val="212529"/>
          <w:sz w:val="28"/>
          <w:shd w:val="clear" w:color="auto" w:fill="FFFFFF"/>
          <w:lang w:val="ru-RU"/>
        </w:rPr>
        <w:t>доводит до сведения участников внешнеэкономической деятельности ф</w:t>
      </w: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ормат, порядок заполнения и оформления распоряжения о переводе денежных средств в уплату платежей в бюджетную систему (далее – платежное поручение) определены нормативными правовыми актами Банка России о правилах осуществления перевода денежных средств и приказом Минфина России от 12 ноября 2013 г. № 107н «Об у</w:t>
      </w:r>
      <w:bookmarkStart w:id="0" w:name="_GoBack"/>
      <w:bookmarkEnd w:id="0"/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тверждении Правил указания информации в реквизитах распоряжений</w:t>
      </w:r>
      <w:proofErr w:type="gramEnd"/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 xml:space="preserve"> о переводе денежных средств в уплату платежей в бюджетную систему Российской Федерации».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Оформление одного платежного поручения допускается только по одному коду бюджетной классификации, администрируемому таможенными органами, согласно бюджетной классификации Российской Федерации.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Реквизиты счета: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(13) «Наименование банка получателя средств» – Операционный департамент Банка России//Межрегиональное операционное УФК г. Москва;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(14) «БИК банка получателя средств» – 024501901;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(15) «Номер счета банка получателя средств (номер банковского счета, входящего в состав единого казначейского счета)» – 40102810045370000002;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(17) «Номер счета получателя средств (номер казначейского счета)» – 03100643000000019502;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(21) «Очередность платежа» – 5;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(22) «Код» – указывается уникальный идентификатор платежа, состоящий из 20 или 25 знаков, при этом все знаки уникального идентификатора платежа одновременно не могут принимать значение ноль («0»). В случае отсутствия уникального идентификатора платежа указывается значение ноль («0»);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(16) «Получатель» – Межрегиональное операционное УФК (ФТС России);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(61) «ИНН» получателя» – 7730176610;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(103) «КПП» получателя – 773001001;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(105) «ОКТМО» – 45328000;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(101) – двузначный показатель статуса плательщика: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«06» – участник внешнеэкономической деятельности – юридическое лицо, за исключением получателя международного почтового отправления;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«16» – участник внешнеэкономической деятельности – физическое лицо;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lastRenderedPageBreak/>
        <w:t>«17» – участник внешнеэкономической деятельности – индивидуальный предприниматель;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«30» – иностранное лицо, не состоящее на учете в налоговых органах Российской Федерации (при уплате платежей, администрируемых таможенными органами);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«31» – плательщик - физическое лицо, юридическое лицо, индивидуальный предприниматель, осуществляющие перевод денежных сре</w:t>
      </w:r>
      <w:proofErr w:type="gramStart"/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дств в сч</w:t>
      </w:r>
      <w:proofErr w:type="gramEnd"/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ет погашения задолженности по исполнительному производству, кредитные организации (филиалы кредитных организаций), составившие распоряжение о переводе денежных средств в счет погашения задолженности по исполнительному производству;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(104) – код бюджетной классификации в соответствии с бюджетной классификацией Российской Федерации;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(107) – восьмизначный код таможенного органа;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(24) «Назначение платежа» – дополнительная информация, необходимая для идентификации назначения платежа.</w:t>
      </w:r>
    </w:p>
    <w:p w:rsid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  <w:r w:rsidRPr="003D4447">
        <w:rPr>
          <w:rFonts w:ascii="PT Sans" w:hAnsi="PT Sans"/>
          <w:color w:val="212529"/>
          <w:sz w:val="28"/>
          <w:shd w:val="clear" w:color="auto" w:fill="FFFFFF"/>
          <w:lang w:val="ru-RU"/>
        </w:rPr>
        <w:t>Данная информация опубликована на официальном сайте ФТС России https://customs.gov.ru в информационно-телекоммуникационной сети «Интернет» в разделе «Открытая служба» &gt; «Участникам ВЭД» &gt; «Уплата и возврат таможенных и иных платежей» в подразделе «Реквизиты счета для перечисления таможенных и иных платежей».</w:t>
      </w:r>
    </w:p>
    <w:p w:rsidR="003D4447" w:rsidRPr="003D4447" w:rsidRDefault="003D4447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</w:p>
    <w:p w:rsidR="00B92F31" w:rsidRDefault="00B92F31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</w:p>
    <w:p w:rsidR="00B92F31" w:rsidRDefault="00B92F31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</w:p>
    <w:p w:rsidR="00B92F31" w:rsidRDefault="00B92F31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</w:p>
    <w:p w:rsidR="00B92F31" w:rsidRDefault="00B92F31" w:rsidP="003D4447">
      <w:pPr>
        <w:pStyle w:val="e-mailtel"/>
        <w:spacing w:line="240" w:lineRule="auto"/>
        <w:ind w:firstLine="709"/>
        <w:rPr>
          <w:rFonts w:ascii="PT Sans" w:hAnsi="PT Sans"/>
          <w:color w:val="212529"/>
          <w:sz w:val="28"/>
          <w:shd w:val="clear" w:color="auto" w:fill="FFFFFF"/>
          <w:lang w:val="ru-RU"/>
        </w:rPr>
      </w:pPr>
    </w:p>
    <w:sectPr w:rsidR="00B92F31" w:rsidSect="00EE4D59">
      <w:headerReference w:type="default" r:id="rId9"/>
      <w:pgSz w:w="11906" w:h="16838"/>
      <w:pgMar w:top="1134" w:right="851" w:bottom="1134" w:left="1134" w:header="39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14" w:rsidRDefault="00DA2A14" w:rsidP="00527E35">
      <w:pPr>
        <w:spacing w:after="0"/>
      </w:pPr>
      <w:r>
        <w:separator/>
      </w:r>
    </w:p>
  </w:endnote>
  <w:endnote w:type="continuationSeparator" w:id="0">
    <w:p w:rsidR="00DA2A14" w:rsidRDefault="00DA2A14" w:rsidP="00527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14" w:rsidRDefault="00DA2A14" w:rsidP="00527E35">
      <w:pPr>
        <w:spacing w:after="0"/>
      </w:pPr>
      <w:r>
        <w:separator/>
      </w:r>
    </w:p>
  </w:footnote>
  <w:footnote w:type="continuationSeparator" w:id="0">
    <w:p w:rsidR="00DA2A14" w:rsidRDefault="00DA2A14" w:rsidP="00527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E35" w:rsidRPr="00AC1C87" w:rsidRDefault="0096690E" w:rsidP="0096690E">
    <w:pPr>
      <w:pStyle w:val="aa"/>
      <w:spacing w:before="0" w:beforeAutospacing="0"/>
      <w:rPr>
        <w:b/>
        <w:color w:val="FFFF99"/>
        <w:szCs w:val="28"/>
      </w:rPr>
    </w:pPr>
    <w:r w:rsidRPr="00AC1C87">
      <w:rPr>
        <w:b/>
        <w:caps w:val="0"/>
        <w:noProof/>
        <w:color w:val="FFFF99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47EEE679" wp14:editId="330C8587">
          <wp:simplePos x="0" y="0"/>
          <wp:positionH relativeFrom="page">
            <wp:posOffset>-1407</wp:posOffset>
          </wp:positionH>
          <wp:positionV relativeFrom="paragraph">
            <wp:posOffset>-252095</wp:posOffset>
          </wp:positionV>
          <wp:extent cx="7558316" cy="1266825"/>
          <wp:effectExtent l="0" t="0" r="508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олонтитул пресс-релизов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16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243" w:rsidRPr="00AC1C87">
      <w:rPr>
        <w:b/>
        <w:color w:val="FFFF99"/>
        <w:szCs w:val="28"/>
      </w:rPr>
      <w:t>Федеральная таможенная служба</w:t>
    </w:r>
  </w:p>
  <w:p w:rsidR="00313243" w:rsidRPr="00AC1C87" w:rsidRDefault="001E75C4" w:rsidP="0096690E">
    <w:pPr>
      <w:spacing w:after="0"/>
      <w:ind w:firstLine="0"/>
      <w:jc w:val="center"/>
      <w:outlineLvl w:val="0"/>
      <w:rPr>
        <w:rFonts w:asciiTheme="minorHAnsi" w:hAnsiTheme="minorHAnsi"/>
        <w:b/>
        <w:caps/>
        <w:color w:val="FFFF99"/>
        <w:szCs w:val="28"/>
      </w:rPr>
    </w:pPr>
    <w:r>
      <w:rPr>
        <w:rFonts w:asciiTheme="minorHAnsi" w:hAnsiTheme="minorHAnsi"/>
        <w:b/>
        <w:caps/>
        <w:color w:val="FFFF99"/>
        <w:szCs w:val="28"/>
      </w:rPr>
      <w:t>ЮЖНОЕ</w:t>
    </w:r>
    <w:r w:rsidR="00313243" w:rsidRPr="00AC1C87">
      <w:rPr>
        <w:rFonts w:asciiTheme="minorHAnsi" w:hAnsiTheme="minorHAnsi"/>
        <w:b/>
        <w:caps/>
        <w:color w:val="FFFF99"/>
        <w:szCs w:val="28"/>
      </w:rPr>
      <w:t xml:space="preserve"> таможенное управление</w:t>
    </w:r>
  </w:p>
  <w:p w:rsidR="00313243" w:rsidRDefault="00EE4D59" w:rsidP="0096690E">
    <w:pPr>
      <w:spacing w:after="0"/>
      <w:ind w:firstLine="0"/>
      <w:jc w:val="center"/>
      <w:outlineLvl w:val="0"/>
      <w:rPr>
        <w:rFonts w:asciiTheme="minorHAnsi" w:hAnsiTheme="minorHAnsi"/>
        <w:b/>
        <w:caps/>
        <w:color w:val="FFFF99"/>
        <w:szCs w:val="28"/>
      </w:rPr>
    </w:pPr>
    <w:r>
      <w:rPr>
        <w:rFonts w:asciiTheme="minorHAnsi" w:hAnsiTheme="minorHAnsi"/>
        <w:b/>
        <w:caps/>
        <w:color w:val="FFFF99"/>
        <w:szCs w:val="28"/>
      </w:rPr>
      <w:t>новороссийская</w:t>
    </w:r>
    <w:r w:rsidR="00313243" w:rsidRPr="00AC1C87">
      <w:rPr>
        <w:rFonts w:asciiTheme="minorHAnsi" w:hAnsiTheme="minorHAnsi"/>
        <w:b/>
        <w:caps/>
        <w:color w:val="FFFF99"/>
        <w:szCs w:val="28"/>
      </w:rPr>
      <w:t xml:space="preserve"> таможня</w:t>
    </w:r>
  </w:p>
  <w:p w:rsidR="00EE4D59" w:rsidRDefault="00EE4D59" w:rsidP="0096690E">
    <w:pPr>
      <w:spacing w:after="0"/>
      <w:ind w:firstLine="0"/>
      <w:jc w:val="center"/>
      <w:outlineLvl w:val="0"/>
      <w:rPr>
        <w:rFonts w:asciiTheme="minorHAnsi" w:hAnsiTheme="minorHAnsi"/>
        <w:b/>
        <w:caps/>
        <w:color w:val="FFFF99"/>
        <w:szCs w:val="28"/>
      </w:rPr>
    </w:pPr>
  </w:p>
  <w:p w:rsidR="00EE4D59" w:rsidRPr="00EE4D59" w:rsidRDefault="00EE4D59" w:rsidP="0096690E">
    <w:pPr>
      <w:spacing w:after="0"/>
      <w:ind w:firstLine="0"/>
      <w:jc w:val="center"/>
      <w:outlineLvl w:val="0"/>
      <w:rPr>
        <w:sz w:val="20"/>
        <w:szCs w:val="20"/>
      </w:rPr>
    </w:pPr>
  </w:p>
  <w:p w:rsidR="00313243" w:rsidRPr="00EE4D59" w:rsidRDefault="00313243" w:rsidP="0096690E">
    <w:pPr>
      <w:spacing w:after="0"/>
      <w:ind w:firstLine="0"/>
      <w:jc w:val="center"/>
      <w:outlineLvl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403"/>
    <w:multiLevelType w:val="hybridMultilevel"/>
    <w:tmpl w:val="BEE60EFE"/>
    <w:lvl w:ilvl="0" w:tplc="B114DFBC">
      <w:start w:val="1"/>
      <w:numFmt w:val="bullet"/>
      <w:lvlText w:val="–"/>
      <w:lvlJc w:val="left"/>
      <w:pPr>
        <w:ind w:left="360" w:hanging="360"/>
      </w:pPr>
      <w:rPr>
        <w:rFonts w:ascii="PT Sans" w:hAnsi="PT San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F405A2"/>
    <w:multiLevelType w:val="hybridMultilevel"/>
    <w:tmpl w:val="9D4CD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72"/>
    <w:rsid w:val="00006800"/>
    <w:rsid w:val="0001681A"/>
    <w:rsid w:val="00030A4D"/>
    <w:rsid w:val="0004415D"/>
    <w:rsid w:val="00045BFB"/>
    <w:rsid w:val="00045E6B"/>
    <w:rsid w:val="00047E2E"/>
    <w:rsid w:val="000524FE"/>
    <w:rsid w:val="00075D82"/>
    <w:rsid w:val="00085056"/>
    <w:rsid w:val="00091863"/>
    <w:rsid w:val="00093D72"/>
    <w:rsid w:val="000B4BAE"/>
    <w:rsid w:val="000E1CBC"/>
    <w:rsid w:val="001005A1"/>
    <w:rsid w:val="001027BD"/>
    <w:rsid w:val="001045D6"/>
    <w:rsid w:val="0013119C"/>
    <w:rsid w:val="001404E1"/>
    <w:rsid w:val="00154A24"/>
    <w:rsid w:val="00170C9C"/>
    <w:rsid w:val="00194B2C"/>
    <w:rsid w:val="001A2A14"/>
    <w:rsid w:val="001A3B48"/>
    <w:rsid w:val="001A3F15"/>
    <w:rsid w:val="001B383D"/>
    <w:rsid w:val="001C533F"/>
    <w:rsid w:val="001D60FD"/>
    <w:rsid w:val="001E04E9"/>
    <w:rsid w:val="001E4683"/>
    <w:rsid w:val="001E75C4"/>
    <w:rsid w:val="001F382A"/>
    <w:rsid w:val="00213123"/>
    <w:rsid w:val="00231630"/>
    <w:rsid w:val="00256B77"/>
    <w:rsid w:val="00265240"/>
    <w:rsid w:val="00284E3C"/>
    <w:rsid w:val="00284EDB"/>
    <w:rsid w:val="00295CAF"/>
    <w:rsid w:val="002968EB"/>
    <w:rsid w:val="002C0440"/>
    <w:rsid w:val="002D0542"/>
    <w:rsid w:val="002E322F"/>
    <w:rsid w:val="002E59AD"/>
    <w:rsid w:val="003107B7"/>
    <w:rsid w:val="00312249"/>
    <w:rsid w:val="00313243"/>
    <w:rsid w:val="00330306"/>
    <w:rsid w:val="00334084"/>
    <w:rsid w:val="00356047"/>
    <w:rsid w:val="00357E0A"/>
    <w:rsid w:val="00377A18"/>
    <w:rsid w:val="003C2A0E"/>
    <w:rsid w:val="003C72E9"/>
    <w:rsid w:val="003D4447"/>
    <w:rsid w:val="003D6D61"/>
    <w:rsid w:val="00401DCA"/>
    <w:rsid w:val="004103E0"/>
    <w:rsid w:val="00424096"/>
    <w:rsid w:val="004459F8"/>
    <w:rsid w:val="00480C7D"/>
    <w:rsid w:val="00482ACD"/>
    <w:rsid w:val="004A775C"/>
    <w:rsid w:val="004D2D82"/>
    <w:rsid w:val="004E2B4B"/>
    <w:rsid w:val="004E47B2"/>
    <w:rsid w:val="00510A76"/>
    <w:rsid w:val="00526D52"/>
    <w:rsid w:val="00527E35"/>
    <w:rsid w:val="00534FBB"/>
    <w:rsid w:val="00544B92"/>
    <w:rsid w:val="00587EE4"/>
    <w:rsid w:val="00597DCC"/>
    <w:rsid w:val="005A0D90"/>
    <w:rsid w:val="005B10F6"/>
    <w:rsid w:val="005C2F45"/>
    <w:rsid w:val="005C7AF1"/>
    <w:rsid w:val="005D1E6B"/>
    <w:rsid w:val="005F7ED3"/>
    <w:rsid w:val="00602BA8"/>
    <w:rsid w:val="0065032C"/>
    <w:rsid w:val="006662ED"/>
    <w:rsid w:val="00691177"/>
    <w:rsid w:val="006B66FC"/>
    <w:rsid w:val="006D16BC"/>
    <w:rsid w:val="006E0960"/>
    <w:rsid w:val="006F5F4B"/>
    <w:rsid w:val="0071218B"/>
    <w:rsid w:val="00724AC6"/>
    <w:rsid w:val="00730D42"/>
    <w:rsid w:val="00740C95"/>
    <w:rsid w:val="0074674B"/>
    <w:rsid w:val="007629E8"/>
    <w:rsid w:val="00764D06"/>
    <w:rsid w:val="00785C0C"/>
    <w:rsid w:val="007B43C4"/>
    <w:rsid w:val="007D49B1"/>
    <w:rsid w:val="008207AC"/>
    <w:rsid w:val="008224DE"/>
    <w:rsid w:val="008464AA"/>
    <w:rsid w:val="00852242"/>
    <w:rsid w:val="00872978"/>
    <w:rsid w:val="008D0249"/>
    <w:rsid w:val="009107F5"/>
    <w:rsid w:val="0091264B"/>
    <w:rsid w:val="009334DD"/>
    <w:rsid w:val="0094454C"/>
    <w:rsid w:val="00952315"/>
    <w:rsid w:val="00953525"/>
    <w:rsid w:val="0096690E"/>
    <w:rsid w:val="009C7C91"/>
    <w:rsid w:val="00A45A9F"/>
    <w:rsid w:val="00A60000"/>
    <w:rsid w:val="00AA2F74"/>
    <w:rsid w:val="00AB4631"/>
    <w:rsid w:val="00AB55B8"/>
    <w:rsid w:val="00AC1601"/>
    <w:rsid w:val="00AC1C87"/>
    <w:rsid w:val="00AC4E8C"/>
    <w:rsid w:val="00AE32D4"/>
    <w:rsid w:val="00B107A3"/>
    <w:rsid w:val="00B158EF"/>
    <w:rsid w:val="00B33FA0"/>
    <w:rsid w:val="00B92F31"/>
    <w:rsid w:val="00BB1543"/>
    <w:rsid w:val="00BB5B76"/>
    <w:rsid w:val="00BC7420"/>
    <w:rsid w:val="00BE0797"/>
    <w:rsid w:val="00C03BC7"/>
    <w:rsid w:val="00C04D23"/>
    <w:rsid w:val="00C10986"/>
    <w:rsid w:val="00C175B4"/>
    <w:rsid w:val="00C23023"/>
    <w:rsid w:val="00C37C28"/>
    <w:rsid w:val="00C47BBF"/>
    <w:rsid w:val="00C62115"/>
    <w:rsid w:val="00C83D53"/>
    <w:rsid w:val="00CB0116"/>
    <w:rsid w:val="00CB2B1C"/>
    <w:rsid w:val="00CE1F84"/>
    <w:rsid w:val="00D2194E"/>
    <w:rsid w:val="00D65BC5"/>
    <w:rsid w:val="00D76597"/>
    <w:rsid w:val="00D76C8A"/>
    <w:rsid w:val="00D8279F"/>
    <w:rsid w:val="00D83F6C"/>
    <w:rsid w:val="00DA2A14"/>
    <w:rsid w:val="00DA608F"/>
    <w:rsid w:val="00DB084A"/>
    <w:rsid w:val="00DC3686"/>
    <w:rsid w:val="00DE32AC"/>
    <w:rsid w:val="00DF6C47"/>
    <w:rsid w:val="00E44202"/>
    <w:rsid w:val="00E453E7"/>
    <w:rsid w:val="00E47E73"/>
    <w:rsid w:val="00E74187"/>
    <w:rsid w:val="00E756C1"/>
    <w:rsid w:val="00E82693"/>
    <w:rsid w:val="00E843B2"/>
    <w:rsid w:val="00E942BC"/>
    <w:rsid w:val="00E94775"/>
    <w:rsid w:val="00EA4ABE"/>
    <w:rsid w:val="00EC506F"/>
    <w:rsid w:val="00EC72C8"/>
    <w:rsid w:val="00ED1271"/>
    <w:rsid w:val="00EE4D59"/>
    <w:rsid w:val="00EF641A"/>
    <w:rsid w:val="00F00BFE"/>
    <w:rsid w:val="00F2461E"/>
    <w:rsid w:val="00F32E6F"/>
    <w:rsid w:val="00F3345A"/>
    <w:rsid w:val="00F409D9"/>
    <w:rsid w:val="00F41BEC"/>
    <w:rsid w:val="00F57DCF"/>
    <w:rsid w:val="00F61260"/>
    <w:rsid w:val="00F82B72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8A"/>
    <w:pPr>
      <w:spacing w:after="12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13243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2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4E8C"/>
    <w:rPr>
      <w:color w:val="0000FF"/>
      <w:u w:val="single"/>
    </w:rPr>
  </w:style>
  <w:style w:type="paragraph" w:customStyle="1" w:styleId="a6">
    <w:name w:val="Справка"/>
    <w:basedOn w:val="a"/>
    <w:qFormat/>
    <w:rsid w:val="00C10986"/>
    <w:rPr>
      <w:i/>
      <w:iCs/>
      <w:szCs w:val="28"/>
    </w:rPr>
  </w:style>
  <w:style w:type="paragraph" w:customStyle="1" w:styleId="a7">
    <w:name w:val="Заголовок справки"/>
    <w:basedOn w:val="a6"/>
    <w:qFormat/>
    <w:rsid w:val="0004415D"/>
    <w:pPr>
      <w:spacing w:before="720"/>
    </w:pPr>
  </w:style>
  <w:style w:type="paragraph" w:styleId="a8">
    <w:name w:val="Title"/>
    <w:next w:val="a"/>
    <w:link w:val="a9"/>
    <w:uiPriority w:val="10"/>
    <w:qFormat/>
    <w:rsid w:val="00295CAF"/>
    <w:pPr>
      <w:spacing w:after="240" w:line="240" w:lineRule="auto"/>
      <w:ind w:firstLine="709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9">
    <w:name w:val="Название Знак"/>
    <w:basedOn w:val="a0"/>
    <w:link w:val="a8"/>
    <w:uiPriority w:val="10"/>
    <w:rsid w:val="00295CA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a">
    <w:name w:val="header"/>
    <w:link w:val="ab"/>
    <w:autoRedefine/>
    <w:uiPriority w:val="99"/>
    <w:unhideWhenUsed/>
    <w:rsid w:val="00313243"/>
    <w:pPr>
      <w:tabs>
        <w:tab w:val="center" w:pos="4677"/>
        <w:tab w:val="right" w:pos="9355"/>
      </w:tabs>
      <w:spacing w:before="100" w:beforeAutospacing="1" w:after="0" w:line="240" w:lineRule="auto"/>
      <w:jc w:val="center"/>
    </w:pPr>
    <w:rPr>
      <w:caps/>
      <w:color w:val="595959" w:themeColor="text1" w:themeTint="A6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313243"/>
    <w:rPr>
      <w:caps/>
      <w:color w:val="595959" w:themeColor="text1" w:themeTint="A6"/>
      <w:sz w:val="28"/>
    </w:rPr>
  </w:style>
  <w:style w:type="paragraph" w:styleId="ac">
    <w:name w:val="footer"/>
    <w:link w:val="ad"/>
    <w:uiPriority w:val="99"/>
    <w:unhideWhenUsed/>
    <w:rsid w:val="00F61260"/>
    <w:pPr>
      <w:tabs>
        <w:tab w:val="center" w:pos="4677"/>
        <w:tab w:val="right" w:pos="9355"/>
      </w:tabs>
      <w:spacing w:after="0" w:line="240" w:lineRule="auto"/>
    </w:pPr>
    <w:rPr>
      <w:color w:val="595959" w:themeColor="text1" w:themeTint="A6"/>
    </w:rPr>
  </w:style>
  <w:style w:type="character" w:customStyle="1" w:styleId="ad">
    <w:name w:val="Нижний колонтитул Знак"/>
    <w:basedOn w:val="a0"/>
    <w:link w:val="ac"/>
    <w:uiPriority w:val="99"/>
    <w:rsid w:val="00F61260"/>
    <w:rPr>
      <w:color w:val="595959" w:themeColor="text1" w:themeTint="A6"/>
    </w:rPr>
  </w:style>
  <w:style w:type="paragraph" w:customStyle="1" w:styleId="-">
    <w:name w:val="Пресс-служба подпись"/>
    <w:qFormat/>
    <w:rsid w:val="006662ED"/>
    <w:pPr>
      <w:spacing w:before="1080" w:after="0"/>
    </w:pPr>
    <w:rPr>
      <w:b/>
      <w:iCs/>
      <w:color w:val="007E3C"/>
      <w:sz w:val="24"/>
      <w:szCs w:val="28"/>
    </w:rPr>
  </w:style>
  <w:style w:type="paragraph" w:customStyle="1" w:styleId="e-mailtel">
    <w:name w:val="e-mail/tel"/>
    <w:qFormat/>
    <w:rsid w:val="00091863"/>
    <w:pPr>
      <w:spacing w:after="0"/>
      <w:jc w:val="both"/>
    </w:pPr>
    <w:rPr>
      <w:iCs/>
      <w:color w:val="595959" w:themeColor="text1" w:themeTint="A6"/>
      <w:sz w:val="24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13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32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rmal (Web)"/>
    <w:basedOn w:val="a"/>
    <w:uiPriority w:val="99"/>
    <w:unhideWhenUsed/>
    <w:rsid w:val="0031324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13243"/>
    <w:rPr>
      <w:i/>
      <w:iCs/>
    </w:rPr>
  </w:style>
  <w:style w:type="character" w:styleId="af0">
    <w:name w:val="Strong"/>
    <w:basedOn w:val="a0"/>
    <w:uiPriority w:val="22"/>
    <w:qFormat/>
    <w:rsid w:val="003132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8A"/>
    <w:pPr>
      <w:spacing w:after="12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13243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2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4E8C"/>
    <w:rPr>
      <w:color w:val="0000FF"/>
      <w:u w:val="single"/>
    </w:rPr>
  </w:style>
  <w:style w:type="paragraph" w:customStyle="1" w:styleId="a6">
    <w:name w:val="Справка"/>
    <w:basedOn w:val="a"/>
    <w:qFormat/>
    <w:rsid w:val="00C10986"/>
    <w:rPr>
      <w:i/>
      <w:iCs/>
      <w:szCs w:val="28"/>
    </w:rPr>
  </w:style>
  <w:style w:type="paragraph" w:customStyle="1" w:styleId="a7">
    <w:name w:val="Заголовок справки"/>
    <w:basedOn w:val="a6"/>
    <w:qFormat/>
    <w:rsid w:val="0004415D"/>
    <w:pPr>
      <w:spacing w:before="720"/>
    </w:pPr>
  </w:style>
  <w:style w:type="paragraph" w:styleId="a8">
    <w:name w:val="Title"/>
    <w:next w:val="a"/>
    <w:link w:val="a9"/>
    <w:uiPriority w:val="10"/>
    <w:qFormat/>
    <w:rsid w:val="00295CAF"/>
    <w:pPr>
      <w:spacing w:after="240" w:line="240" w:lineRule="auto"/>
      <w:ind w:firstLine="709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9">
    <w:name w:val="Название Знак"/>
    <w:basedOn w:val="a0"/>
    <w:link w:val="a8"/>
    <w:uiPriority w:val="10"/>
    <w:rsid w:val="00295CA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a">
    <w:name w:val="header"/>
    <w:link w:val="ab"/>
    <w:autoRedefine/>
    <w:uiPriority w:val="99"/>
    <w:unhideWhenUsed/>
    <w:rsid w:val="00313243"/>
    <w:pPr>
      <w:tabs>
        <w:tab w:val="center" w:pos="4677"/>
        <w:tab w:val="right" w:pos="9355"/>
      </w:tabs>
      <w:spacing w:before="100" w:beforeAutospacing="1" w:after="0" w:line="240" w:lineRule="auto"/>
      <w:jc w:val="center"/>
    </w:pPr>
    <w:rPr>
      <w:caps/>
      <w:color w:val="595959" w:themeColor="text1" w:themeTint="A6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313243"/>
    <w:rPr>
      <w:caps/>
      <w:color w:val="595959" w:themeColor="text1" w:themeTint="A6"/>
      <w:sz w:val="28"/>
    </w:rPr>
  </w:style>
  <w:style w:type="paragraph" w:styleId="ac">
    <w:name w:val="footer"/>
    <w:link w:val="ad"/>
    <w:uiPriority w:val="99"/>
    <w:unhideWhenUsed/>
    <w:rsid w:val="00F61260"/>
    <w:pPr>
      <w:tabs>
        <w:tab w:val="center" w:pos="4677"/>
        <w:tab w:val="right" w:pos="9355"/>
      </w:tabs>
      <w:spacing w:after="0" w:line="240" w:lineRule="auto"/>
    </w:pPr>
    <w:rPr>
      <w:color w:val="595959" w:themeColor="text1" w:themeTint="A6"/>
    </w:rPr>
  </w:style>
  <w:style w:type="character" w:customStyle="1" w:styleId="ad">
    <w:name w:val="Нижний колонтитул Знак"/>
    <w:basedOn w:val="a0"/>
    <w:link w:val="ac"/>
    <w:uiPriority w:val="99"/>
    <w:rsid w:val="00F61260"/>
    <w:rPr>
      <w:color w:val="595959" w:themeColor="text1" w:themeTint="A6"/>
    </w:rPr>
  </w:style>
  <w:style w:type="paragraph" w:customStyle="1" w:styleId="-">
    <w:name w:val="Пресс-служба подпись"/>
    <w:qFormat/>
    <w:rsid w:val="006662ED"/>
    <w:pPr>
      <w:spacing w:before="1080" w:after="0"/>
    </w:pPr>
    <w:rPr>
      <w:b/>
      <w:iCs/>
      <w:color w:val="007E3C"/>
      <w:sz w:val="24"/>
      <w:szCs w:val="28"/>
    </w:rPr>
  </w:style>
  <w:style w:type="paragraph" w:customStyle="1" w:styleId="e-mailtel">
    <w:name w:val="e-mail/tel"/>
    <w:qFormat/>
    <w:rsid w:val="00091863"/>
    <w:pPr>
      <w:spacing w:after="0"/>
      <w:jc w:val="both"/>
    </w:pPr>
    <w:rPr>
      <w:iCs/>
      <w:color w:val="595959" w:themeColor="text1" w:themeTint="A6"/>
      <w:sz w:val="24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13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32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rmal (Web)"/>
    <w:basedOn w:val="a"/>
    <w:uiPriority w:val="99"/>
    <w:unhideWhenUsed/>
    <w:rsid w:val="0031324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13243"/>
    <w:rPr>
      <w:i/>
      <w:iCs/>
    </w:rPr>
  </w:style>
  <w:style w:type="character" w:styleId="af0">
    <w:name w:val="Strong"/>
    <w:basedOn w:val="a0"/>
    <w:uiPriority w:val="22"/>
    <w:qFormat/>
    <w:rsid w:val="0031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80F9-BB29-4769-AA64-E41603F1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Кирчева Инна Владимировна</cp:lastModifiedBy>
  <cp:revision>8</cp:revision>
  <cp:lastPrinted>2021-06-02T07:28:00Z</cp:lastPrinted>
  <dcterms:created xsi:type="dcterms:W3CDTF">2024-02-06T08:23:00Z</dcterms:created>
  <dcterms:modified xsi:type="dcterms:W3CDTF">2024-02-28T07:44:00Z</dcterms:modified>
</cp:coreProperties>
</file>